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31" w:rsidRDefault="00B60372">
      <w:pPr>
        <w:shd w:val="clear" w:color="auto" w:fill="FFFFFF"/>
        <w:jc w:val="center"/>
        <w:rPr>
          <w:rFonts w:ascii="Helvetica" w:hAnsi="Helvetica" w:cs="Helvetica"/>
          <w:color w:val="5F5F5F"/>
        </w:rPr>
      </w:pPr>
      <w:bookmarkStart w:id="0" w:name="_GoBack"/>
      <w:r>
        <w:rPr>
          <w:rFonts w:ascii="Helvetica" w:hAnsi="Helvetica" w:cs="Helvetica"/>
          <w:b/>
          <w:bCs/>
          <w:color w:val="5F5F5F"/>
          <w:sz w:val="36"/>
          <w:szCs w:val="36"/>
        </w:rPr>
        <w:t>个人学习计划制定规则</w:t>
      </w:r>
    </w:p>
    <w:bookmarkEnd w:id="0"/>
    <w:p w:rsidR="00CF0931" w:rsidRDefault="00CF0931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制定个人学习计划，是将培养方案中属于学生本人研究方向的课程，选出作为本人就读全程的课程总清单。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b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b/>
          <w:color w:val="000000" w:themeColor="text1"/>
          <w:sz w:val="24"/>
          <w:szCs w:val="24"/>
        </w:rPr>
        <w:t>一、个人学习计划制定流程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查看本专业培养方案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——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选择研究方向（</w:t>
      </w:r>
      <w:r>
        <w:rPr>
          <w:rFonts w:ascii="Calibri" w:eastAsia="宋体" w:hAnsi="Calibri" w:cs="宋体" w:hint="eastAsia"/>
          <w:color w:val="000000" w:themeColor="text1"/>
          <w:sz w:val="24"/>
          <w:szCs w:val="24"/>
        </w:rPr>
        <w:t>2018</w:t>
      </w:r>
      <w:r>
        <w:rPr>
          <w:rFonts w:ascii="Calibri" w:eastAsia="宋体" w:hAnsi="Calibri" w:cs="宋体" w:hint="eastAsia"/>
          <w:color w:val="000000" w:themeColor="text1"/>
          <w:sz w:val="24"/>
          <w:szCs w:val="24"/>
        </w:rPr>
        <w:t>级已作统一关联，无须选择，跳过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）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——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选择相应课程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——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提交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——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选课。每一步的具体操作办法请参考附件《个人学习计划制定要求说明及系统操作手册》。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b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b/>
          <w:color w:val="000000" w:themeColor="text1"/>
          <w:sz w:val="24"/>
          <w:szCs w:val="24"/>
        </w:rPr>
        <w:t>二、个人学习计划调整流程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因课程停开、取消调整等原因不能执行原个人学习计划者，可向培养单位申请调整学习计划，经培养单位通过后，可以上系统调整个人学习计划。已经开课的课程或已获成绩的课程不能调整。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b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b/>
          <w:color w:val="000000" w:themeColor="text1"/>
          <w:sz w:val="24"/>
          <w:szCs w:val="24"/>
        </w:rPr>
        <w:t>三、查看培养方案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1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、每位研究生均会对应一个培养方案，该培养方案可以在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培养方案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中查看（建筑艺术学院目前暂只能查看到培养方案的公共必修课程部分，文字表述和其他课程暂缺）。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2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、培养方案分为文字部分和课程部分。文字部分体现本专业的学术思想和培养要求，课程部分列明了就读全程所需修读的相关课程。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b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b/>
          <w:color w:val="000000" w:themeColor="text1"/>
          <w:sz w:val="24"/>
          <w:szCs w:val="24"/>
        </w:rPr>
        <w:t>四、选择研究方向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2018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级研究生均已根据录取情况完成了方向选择，可跳过。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说明：极少数新生（以非全日制专业学位为主）在报考环节未确定研究方向，暂关联至相近方向，待入学后确定研究方向之后，待统一选课之后，再行重新选择研究方向。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b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b/>
          <w:color w:val="000000" w:themeColor="text1"/>
          <w:sz w:val="24"/>
          <w:szCs w:val="24"/>
        </w:rPr>
        <w:t>五、选择相应课程（选择本人学习计划中的课程）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1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、个人学习计划的制订以本专业的培养方案为基础，也是将来作为毕业时课程审核的依据。若未完成个人学习计划内的课程，则无法顺利毕业，因此不建议在个人学习计划中添加与毕业要求无关的课程。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2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、培养方案中的课程凡为必修的，系统默认设置为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选择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（已标红色，最右边第一列，不需要学生选择，也不可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退选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）。学生只须关注最右列标注为蓝色的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选修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课程即可。关于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选课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课程的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选择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，需注意以下几点：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（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1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）基于美术学院教学的特点，存在大量的跨学期同名连开课，该类课程在纸质培养方案中显示为一门课（注明连开学期），但在系统中显示多门课（具体门数即为该课连开的学期数），如系本人应修读的课程（查看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备注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信息），则这四门均应选择，注意不要遗漏。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lastRenderedPageBreak/>
        <w:t>例如：壁画系的专业基础课《</w:t>
      </w:r>
      <w:hyperlink r:id="rId8" w:tgtFrame="_blank" w:history="1">
        <w:r>
          <w:rPr>
            <w:rFonts w:ascii="Calibri" w:eastAsia="宋体" w:hAnsi="Calibri" w:cs="宋体"/>
            <w:color w:val="000000" w:themeColor="text1"/>
            <w:sz w:val="24"/>
            <w:szCs w:val="24"/>
          </w:rPr>
          <w:t>壁画创作与理论研究</w:t>
        </w:r>
      </w:hyperlink>
      <w:r>
        <w:rPr>
          <w:rFonts w:ascii="Calibri" w:eastAsia="宋体" w:hAnsi="Calibri" w:cs="宋体"/>
          <w:color w:val="000000" w:themeColor="text1"/>
          <w:sz w:val="24"/>
          <w:szCs w:val="24"/>
        </w:rPr>
        <w:t>》连开四学期，在系统中显示为同名的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四门课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，即《</w:t>
      </w:r>
      <w:hyperlink r:id="rId9" w:tgtFrame="_blank" w:history="1">
        <w:r>
          <w:rPr>
            <w:rFonts w:ascii="Calibri" w:eastAsia="宋体" w:hAnsi="Calibri" w:cs="宋体"/>
            <w:color w:val="000000" w:themeColor="text1"/>
            <w:sz w:val="24"/>
            <w:szCs w:val="24"/>
          </w:rPr>
          <w:t>壁画创作与理论研究</w:t>
        </w:r>
      </w:hyperlink>
      <w:r>
        <w:rPr>
          <w:rFonts w:ascii="Calibri" w:eastAsia="宋体" w:hAnsi="Calibri" w:cs="宋体"/>
          <w:color w:val="000000" w:themeColor="text1"/>
          <w:sz w:val="24"/>
          <w:szCs w:val="24"/>
        </w:rPr>
        <w:t>》（四学期的课程编号分别为：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33022A045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、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33022B045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、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33022C045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、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33022D045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。制定学习计划时，不应遗漏。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（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2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）公共必修课。学校只提供英语和日语两种外语课教学。学生任选其一，其中，学术学位的硕士英语课必修《硕士英语（学术学位）》和《英语视听说》，因系连开两学期，在系统中显示为四门课，即《硕士英语（学术学位）》（课程编号为：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10002A008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和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10002B008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）和《英语视听说》，（课程编号：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10002A009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和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10002B009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）。语种为英语的，这四门均应选择。若本人语种为日语，则仅需选择日语（课程编号：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10000Z015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）一门即可。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（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3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）专业必修课和必修环节的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课程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选择，请注意查看课程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备注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栏的附加说明，不要选错。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例如，上述壁画系的专业基础课《</w:t>
      </w:r>
      <w:hyperlink r:id="rId10" w:tgtFrame="_blank" w:history="1">
        <w:r>
          <w:rPr>
            <w:rFonts w:ascii="Calibri" w:eastAsia="宋体" w:hAnsi="Calibri" w:cs="宋体"/>
            <w:color w:val="000000" w:themeColor="text1"/>
            <w:sz w:val="24"/>
            <w:szCs w:val="24"/>
          </w:rPr>
          <w:t>壁画创作与理论研究</w:t>
        </w:r>
      </w:hyperlink>
      <w:r>
        <w:rPr>
          <w:rFonts w:ascii="Calibri" w:eastAsia="宋体" w:hAnsi="Calibri" w:cs="宋体"/>
          <w:color w:val="000000" w:themeColor="text1"/>
          <w:sz w:val="24"/>
          <w:szCs w:val="24"/>
        </w:rPr>
        <w:t>》，该课并列列在绘画艺术学院的四个系的多门专业基础课之中，设置为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选修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，同时备注壁画必修，即壁画系的同学，应将上述四个学期的课全部点击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选择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。其他系的同学，则可以不选。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b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b/>
          <w:color w:val="000000" w:themeColor="text1"/>
          <w:sz w:val="24"/>
          <w:szCs w:val="24"/>
        </w:rPr>
        <w:t>六、外语免修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1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、已达到外语中免修条件的同学，也应先将应修读的必修外语课程纳入个人学习计划，再申请外语免修，程序不能颠倒，否则无法录入免修成绩。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2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、若符合外语免修条件，在保存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学习计划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后，可在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我的课程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中点击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外语免修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按纽，提出免修申请。免修审核通过后自动获得学分和成绩。详细事项见研究生关于外语免修的通知。</w:t>
      </w:r>
    </w:p>
    <w:p w:rsidR="00753349" w:rsidRDefault="00753349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 w:hint="eastAsia"/>
          <w:color w:val="000000" w:themeColor="text1"/>
          <w:sz w:val="24"/>
          <w:szCs w:val="24"/>
        </w:rPr>
        <w:t>3</w:t>
      </w:r>
      <w:r>
        <w:rPr>
          <w:rFonts w:ascii="Calibri" w:eastAsia="宋体" w:hAnsi="Calibri" w:cs="宋体" w:hint="eastAsia"/>
          <w:color w:val="000000" w:themeColor="text1"/>
          <w:sz w:val="24"/>
          <w:szCs w:val="24"/>
        </w:rPr>
        <w:t>、外语免修网上申请事宜另行通知。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b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b/>
          <w:color w:val="000000" w:themeColor="text1"/>
          <w:sz w:val="24"/>
          <w:szCs w:val="24"/>
        </w:rPr>
        <w:t>七、补修课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在学校规定的补修范围内且培养方案要求补修的学生，必须将补修课列入本人学习计划。学校认定的补修范围为同等学力升学、跨一级学科录取两类，具体可咨询各培养单位教学秘书。导师认定的补修范围按导师要求执行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b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b/>
          <w:color w:val="000000" w:themeColor="text1"/>
          <w:sz w:val="24"/>
          <w:szCs w:val="24"/>
        </w:rPr>
        <w:t>八、特别说明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（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1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）个人学习计划可以修改。若发现有遗漏或错误，后续可以通过再次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提交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进行修改。个人学习计划不单设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修改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按钮，保存之后，再次点击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提交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即为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修改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。院系没有审核之前，可以多次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提交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。</w:t>
      </w:r>
    </w:p>
    <w:p w:rsidR="00CF0931" w:rsidRDefault="00B60372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（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2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）为保证本学期初能够正常选课，须先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“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提交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”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个人学习计划（已提交，学院未审核状态即可选课）。</w:t>
      </w:r>
    </w:p>
    <w:p w:rsidR="00CF0931" w:rsidRDefault="00B60372" w:rsidP="00C70889">
      <w:pPr>
        <w:widowControl/>
        <w:shd w:val="clear" w:color="auto" w:fill="FFFFFF"/>
        <w:spacing w:line="400" w:lineRule="exact"/>
        <w:ind w:firstLine="555"/>
        <w:rPr>
          <w:rFonts w:ascii="Calibri" w:eastAsia="宋体" w:hAnsi="Calibri" w:cs="宋体"/>
          <w:color w:val="000000" w:themeColor="text1"/>
          <w:sz w:val="24"/>
          <w:szCs w:val="24"/>
        </w:rPr>
      </w:pPr>
      <w:r>
        <w:rPr>
          <w:rFonts w:ascii="Calibri" w:eastAsia="宋体" w:hAnsi="Calibri" w:cs="宋体"/>
          <w:color w:val="000000" w:themeColor="text1"/>
          <w:sz w:val="24"/>
          <w:szCs w:val="24"/>
        </w:rPr>
        <w:t>（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3</w:t>
      </w:r>
      <w:r>
        <w:rPr>
          <w:rFonts w:ascii="Calibri" w:eastAsia="宋体" w:hAnsi="Calibri" w:cs="宋体"/>
          <w:color w:val="000000" w:themeColor="text1"/>
          <w:sz w:val="24"/>
          <w:szCs w:val="24"/>
        </w:rPr>
        <w:t>）建筑艺术学院培养方案录入系统因故延迟，但不影响公共课选课。</w:t>
      </w:r>
    </w:p>
    <w:sectPr w:rsidR="00CF0931" w:rsidSect="00CF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8E3" w:rsidRDefault="000048E3" w:rsidP="00753349">
      <w:r>
        <w:separator/>
      </w:r>
    </w:p>
  </w:endnote>
  <w:endnote w:type="continuationSeparator" w:id="0">
    <w:p w:rsidR="000048E3" w:rsidRDefault="000048E3" w:rsidP="0075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8E3" w:rsidRDefault="000048E3" w:rsidP="00753349">
      <w:r>
        <w:separator/>
      </w:r>
    </w:p>
  </w:footnote>
  <w:footnote w:type="continuationSeparator" w:id="0">
    <w:p w:rsidR="000048E3" w:rsidRDefault="000048E3" w:rsidP="0075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F7F9D"/>
    <w:multiLevelType w:val="singleLevel"/>
    <w:tmpl w:val="5B3F7F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B4F"/>
    <w:rsid w:val="000048E3"/>
    <w:rsid w:val="00023E0D"/>
    <w:rsid w:val="00044095"/>
    <w:rsid w:val="00063394"/>
    <w:rsid w:val="0009541B"/>
    <w:rsid w:val="000B6F0B"/>
    <w:rsid w:val="00131C07"/>
    <w:rsid w:val="00146484"/>
    <w:rsid w:val="00180530"/>
    <w:rsid w:val="001D14F6"/>
    <w:rsid w:val="001D269B"/>
    <w:rsid w:val="002254EF"/>
    <w:rsid w:val="0029657C"/>
    <w:rsid w:val="002C5B94"/>
    <w:rsid w:val="00306715"/>
    <w:rsid w:val="00346EB5"/>
    <w:rsid w:val="00366E55"/>
    <w:rsid w:val="00375B71"/>
    <w:rsid w:val="003A379F"/>
    <w:rsid w:val="003B23BB"/>
    <w:rsid w:val="00440C4D"/>
    <w:rsid w:val="0045134F"/>
    <w:rsid w:val="0048327D"/>
    <w:rsid w:val="00526B4F"/>
    <w:rsid w:val="005708F5"/>
    <w:rsid w:val="0057709B"/>
    <w:rsid w:val="006814C9"/>
    <w:rsid w:val="006900CE"/>
    <w:rsid w:val="00697298"/>
    <w:rsid w:val="006D0AEF"/>
    <w:rsid w:val="006F5EE4"/>
    <w:rsid w:val="007153DA"/>
    <w:rsid w:val="00725C10"/>
    <w:rsid w:val="00753349"/>
    <w:rsid w:val="00773B39"/>
    <w:rsid w:val="00801AA0"/>
    <w:rsid w:val="00805407"/>
    <w:rsid w:val="008638CD"/>
    <w:rsid w:val="00867B65"/>
    <w:rsid w:val="0087700D"/>
    <w:rsid w:val="00981BA1"/>
    <w:rsid w:val="009943FF"/>
    <w:rsid w:val="009E297E"/>
    <w:rsid w:val="00A66A95"/>
    <w:rsid w:val="00AA24CA"/>
    <w:rsid w:val="00AE2C37"/>
    <w:rsid w:val="00B60372"/>
    <w:rsid w:val="00B81F01"/>
    <w:rsid w:val="00B84570"/>
    <w:rsid w:val="00C70889"/>
    <w:rsid w:val="00CB24D7"/>
    <w:rsid w:val="00CB7A3F"/>
    <w:rsid w:val="00CF0931"/>
    <w:rsid w:val="00CF19AA"/>
    <w:rsid w:val="00D15554"/>
    <w:rsid w:val="00DC3A63"/>
    <w:rsid w:val="00EC4385"/>
    <w:rsid w:val="00EE562D"/>
    <w:rsid w:val="00F11759"/>
    <w:rsid w:val="00F41BB0"/>
    <w:rsid w:val="00F52BF9"/>
    <w:rsid w:val="00F96EE9"/>
    <w:rsid w:val="00FA14AC"/>
    <w:rsid w:val="00FD5F32"/>
    <w:rsid w:val="4349167D"/>
    <w:rsid w:val="642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71DC9"/>
  <w15:docId w15:val="{8E5FF68B-2A49-4A3D-AE37-1049452D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9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0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0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CF0931"/>
    <w:rPr>
      <w:b/>
      <w:bCs/>
    </w:rPr>
  </w:style>
  <w:style w:type="character" w:styleId="a8">
    <w:name w:val="Hyperlink"/>
    <w:basedOn w:val="a0"/>
    <w:uiPriority w:val="99"/>
    <w:semiHidden/>
    <w:unhideWhenUsed/>
    <w:rsid w:val="00CF0931"/>
    <w:rPr>
      <w:color w:val="000000"/>
      <w:sz w:val="18"/>
      <w:szCs w:val="18"/>
      <w:u w:val="none"/>
    </w:rPr>
  </w:style>
  <w:style w:type="table" w:styleId="a9">
    <w:name w:val="Table Grid"/>
    <w:basedOn w:val="a1"/>
    <w:uiPriority w:val="59"/>
    <w:qFormat/>
    <w:rsid w:val="00CF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CF093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F093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46EB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46E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sinfo.caa.edu.cn/py/page/student/xkkcxx.htm?kcId=726C57B0257951FDE0530B0AA8B620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rsinfo.caa.edu.cn/py/page/student/xkkcxx.htm?kcId=726C57B0257951FDE0530B0AA8B62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sinfo.caa.edu.cn/py/page/student/xkkcxx.htm?kcId=726C57B0257951FDE0530B0AA8B6205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326</Words>
  <Characters>1859</Characters>
  <Application>Microsoft Office Word</Application>
  <DocSecurity>0</DocSecurity>
  <Lines>15</Lines>
  <Paragraphs>4</Paragraphs>
  <ScaleCrop>false</ScaleCrop>
  <Company>CHINA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44</cp:revision>
  <cp:lastPrinted>2018-09-01T08:34:00Z</cp:lastPrinted>
  <dcterms:created xsi:type="dcterms:W3CDTF">2018-08-29T12:10:00Z</dcterms:created>
  <dcterms:modified xsi:type="dcterms:W3CDTF">2018-09-02T01:28:00Z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